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3" w:rsidRPr="00C86653" w:rsidRDefault="00C86653" w:rsidP="00C86653">
      <w:pPr>
        <w:spacing w:after="0" w:line="240" w:lineRule="auto"/>
        <w:rPr>
          <w:rFonts w:ascii="Myriad Pro" w:eastAsia="Times New Roman" w:hAnsi="Myriad Pro" w:cs="Calibri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Myriad Pro" w:eastAsia="Times New Roman" w:hAnsi="Myriad Pro" w:cs="Calibri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3264582" wp14:editId="0E454985">
            <wp:simplePos x="0" y="0"/>
            <wp:positionH relativeFrom="column">
              <wp:posOffset>4848225</wp:posOffset>
            </wp:positionH>
            <wp:positionV relativeFrom="paragraph">
              <wp:posOffset>-95250</wp:posOffset>
            </wp:positionV>
            <wp:extent cx="1876425" cy="5770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7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653">
        <w:rPr>
          <w:rFonts w:ascii="Myriad Pro" w:eastAsia="Times New Roman" w:hAnsi="Myriad Pro" w:cs="Calibri"/>
          <w:b/>
          <w:color w:val="000000"/>
          <w:sz w:val="28"/>
          <w:szCs w:val="28"/>
          <w:lang w:eastAsia="en-GB"/>
        </w:rPr>
        <w:t>Report Information</w:t>
      </w:r>
      <w:r w:rsidR="00370B2A">
        <w:rPr>
          <w:rFonts w:ascii="Myriad Pro" w:eastAsia="Times New Roman" w:hAnsi="Myriad Pro" w:cs="Calibri"/>
          <w:b/>
          <w:color w:val="000000"/>
          <w:sz w:val="28"/>
          <w:szCs w:val="28"/>
          <w:lang w:eastAsia="en-GB"/>
        </w:rPr>
        <w:t xml:space="preserve"> – KS4</w:t>
      </w:r>
    </w:p>
    <w:p w:rsidR="004B195B" w:rsidRDefault="004B195B" w:rsidP="00C86653">
      <w:pPr>
        <w:spacing w:after="0" w:line="240" w:lineRule="auto"/>
        <w:rPr>
          <w:rFonts w:ascii="Myriad Pro" w:eastAsia="Times New Roman" w:hAnsi="Myriad Pro" w:cs="Calibri"/>
          <w:b/>
          <w:color w:val="000000"/>
          <w:sz w:val="18"/>
          <w:szCs w:val="18"/>
          <w:lang w:eastAsia="en-GB"/>
        </w:rPr>
      </w:pPr>
    </w:p>
    <w:p w:rsidR="005D68D7" w:rsidRDefault="005D68D7" w:rsidP="00C86653">
      <w:pPr>
        <w:spacing w:after="0" w:line="240" w:lineRule="auto"/>
        <w:rPr>
          <w:rFonts w:ascii="Myriad Pro" w:eastAsia="Times New Roman" w:hAnsi="Myriad Pro" w:cs="Calibri"/>
          <w:b/>
          <w:color w:val="000000"/>
          <w:sz w:val="18"/>
          <w:szCs w:val="18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D68D7" w:rsidTr="005D68D7">
        <w:tc>
          <w:tcPr>
            <w:tcW w:w="10740" w:type="dxa"/>
          </w:tcPr>
          <w:p w:rsidR="005D68D7" w:rsidRDefault="005D68D7" w:rsidP="00C86653">
            <w:pPr>
              <w:rPr>
                <w:rFonts w:ascii="Myriad Pro" w:eastAsia="Times New Roman" w:hAnsi="Myriad Pro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yriad Pro" w:eastAsia="Times New Roman" w:hAnsi="Myriad Pro" w:cs="Calibri"/>
                <w:b/>
                <w:color w:val="000000"/>
                <w:sz w:val="18"/>
                <w:szCs w:val="18"/>
                <w:lang w:eastAsia="en-GB"/>
              </w:rPr>
              <w:t xml:space="preserve">Attendance </w:t>
            </w:r>
          </w:p>
          <w:p w:rsidR="005D68D7" w:rsidRDefault="00A234BF" w:rsidP="00C86653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  <w:t>The target is 100%</w:t>
            </w:r>
            <w:r w:rsidR="005D68D7" w:rsidRPr="005D68D7"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10993"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  <w:t>to</w:t>
            </w:r>
            <w:r w:rsidR="005D68D7" w:rsidRPr="005D68D7"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  <w:t xml:space="preserve"> give the best opportunity for the student to make good progress.</w:t>
            </w:r>
          </w:p>
          <w:p w:rsidR="005D68D7" w:rsidRDefault="005D68D7" w:rsidP="00C86653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</w:p>
          <w:p w:rsidR="005D68D7" w:rsidRPr="005D68D7" w:rsidRDefault="005D68D7" w:rsidP="00C86653">
            <w:pPr>
              <w:rPr>
                <w:rFonts w:ascii="Myriad Pro" w:eastAsia="Times New Roman" w:hAnsi="Myriad Pro" w:cs="Calibri"/>
                <w:b/>
                <w:color w:val="000000"/>
                <w:sz w:val="18"/>
                <w:szCs w:val="18"/>
                <w:lang w:eastAsia="en-GB"/>
              </w:rPr>
            </w:pPr>
            <w:r w:rsidRPr="005D68D7">
              <w:rPr>
                <w:rFonts w:ascii="Myriad Pro" w:eastAsia="Times New Roman" w:hAnsi="Myriad Pro" w:cs="Calibri"/>
                <w:b/>
                <w:color w:val="000000"/>
                <w:sz w:val="18"/>
                <w:szCs w:val="18"/>
                <w:lang w:eastAsia="en-GB"/>
              </w:rPr>
              <w:t>Previous Assessment Information</w:t>
            </w:r>
          </w:p>
          <w:p w:rsidR="00251470" w:rsidRDefault="00251470" w:rsidP="00251470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  <w:t>Key Stage 2 Standard Attainment Tests (SATS – Year 6)</w:t>
            </w:r>
          </w:p>
          <w:p w:rsidR="00251470" w:rsidRDefault="00251470" w:rsidP="00251470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  <w:t>Most students arrive at the Academy with attainment levels in English and Mathematics.  The National average at the end of Key Stage 2 is level 4.</w:t>
            </w:r>
          </w:p>
          <w:p w:rsidR="006B349F" w:rsidRDefault="006B349F" w:rsidP="00C86653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</w:p>
          <w:p w:rsidR="006B349F" w:rsidRPr="006B349F" w:rsidRDefault="006B349F" w:rsidP="00C86653">
            <w:pPr>
              <w:rPr>
                <w:rFonts w:ascii="Myriad Pro" w:eastAsia="Times New Roman" w:hAnsi="Myriad Pro" w:cs="Calibri"/>
                <w:b/>
                <w:color w:val="000000"/>
                <w:sz w:val="18"/>
                <w:szCs w:val="18"/>
                <w:lang w:eastAsia="en-GB"/>
              </w:rPr>
            </w:pPr>
            <w:r w:rsidRPr="006B349F">
              <w:rPr>
                <w:rFonts w:ascii="Myriad Pro" w:eastAsia="Times New Roman" w:hAnsi="Myriad Pro" w:cs="Calibri"/>
                <w:b/>
                <w:color w:val="000000"/>
                <w:sz w:val="18"/>
                <w:szCs w:val="18"/>
                <w:lang w:eastAsia="en-GB"/>
              </w:rPr>
              <w:t>Pr</w:t>
            </w:r>
            <w:r>
              <w:rPr>
                <w:rFonts w:ascii="Myriad Pro" w:eastAsia="Times New Roman" w:hAnsi="Myriad Pro" w:cs="Calibri"/>
                <w:b/>
                <w:color w:val="000000"/>
                <w:sz w:val="18"/>
                <w:szCs w:val="18"/>
                <w:lang w:eastAsia="en-GB"/>
              </w:rPr>
              <w:t>ogress Expectations</w:t>
            </w:r>
          </w:p>
          <w:p w:rsidR="006B349F" w:rsidRDefault="00771DFE" w:rsidP="006B349F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  <w:t>Progress will be tracked and measured on a triangulation of summative and formative assessments.  This will be based on the content and skills of the course taught to date.</w:t>
            </w:r>
          </w:p>
          <w:p w:rsidR="00927630" w:rsidRDefault="00927630" w:rsidP="006B349F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</w:p>
          <w:p w:rsidR="00927630" w:rsidRDefault="00927630" w:rsidP="00927630">
            <w:pPr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  <w:t xml:space="preserve">ATL </w:t>
            </w:r>
          </w:p>
          <w:p w:rsidR="00927630" w:rsidRPr="005D68D7" w:rsidRDefault="00927630" w:rsidP="00927630">
            <w:pPr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</w:pPr>
            <w:r w:rsidRPr="005D68D7"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  <w:t>Attitude to Learning is an indicator of the overall effort that the student is displaying:</w:t>
            </w:r>
          </w:p>
          <w:p w:rsidR="00927630" w:rsidRPr="004B195B" w:rsidRDefault="00927630" w:rsidP="00927630">
            <w:pPr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</w:pPr>
          </w:p>
          <w:p w:rsidR="00927630" w:rsidRPr="005D68D7" w:rsidRDefault="00927630" w:rsidP="00927630">
            <w:pPr>
              <w:pStyle w:val="ListParagraph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</w:pPr>
            <w:r w:rsidRPr="005D68D7"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  <w:t>1 = Outstanding</w:t>
            </w:r>
          </w:p>
          <w:p w:rsidR="00927630" w:rsidRPr="005D68D7" w:rsidRDefault="00927630" w:rsidP="00927630">
            <w:pPr>
              <w:pStyle w:val="ListParagraph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</w:pPr>
            <w:r w:rsidRPr="005D68D7"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  <w:t>2 = Good</w:t>
            </w:r>
          </w:p>
          <w:p w:rsidR="00927630" w:rsidRPr="005D68D7" w:rsidRDefault="00927630" w:rsidP="00927630">
            <w:pPr>
              <w:pStyle w:val="ListParagraph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</w:pPr>
            <w:r w:rsidRPr="005D68D7"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  <w:t>3 = Requires Improvement</w:t>
            </w:r>
          </w:p>
          <w:p w:rsidR="00927630" w:rsidRPr="005D68D7" w:rsidRDefault="00927630" w:rsidP="00927630">
            <w:pPr>
              <w:pStyle w:val="ListParagraph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</w:pPr>
            <w:r w:rsidRPr="005D68D7"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  <w:t xml:space="preserve">4 = </w:t>
            </w:r>
            <w:r w:rsidR="00ED4D5F"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  <w:t>Inadequate</w:t>
            </w:r>
          </w:p>
          <w:p w:rsidR="00927630" w:rsidRPr="004B195B" w:rsidRDefault="00927630" w:rsidP="00927630">
            <w:pPr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</w:pPr>
          </w:p>
          <w:p w:rsidR="00927630" w:rsidRPr="004B195B" w:rsidRDefault="00927630" w:rsidP="00927630">
            <w:pPr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</w:pPr>
            <w:r w:rsidRPr="004B195B"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  <w:t>H/W</w:t>
            </w:r>
            <w:r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  <w:t xml:space="preserve"> -</w:t>
            </w:r>
            <w:r w:rsidRPr="004B195B">
              <w:rPr>
                <w:rFonts w:ascii="Myriad Pro" w:eastAsia="Times New Roman" w:hAnsi="Myriad Pro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710993">
              <w:rPr>
                <w:rFonts w:ascii="Myriad Pro" w:eastAsia="Times New Roman" w:hAnsi="Myriad Pro" w:cs="Times New Roman"/>
                <w:sz w:val="18"/>
                <w:szCs w:val="18"/>
                <w:lang w:eastAsia="en-GB"/>
              </w:rPr>
              <w:t>(Homework/Coursework Concerns)</w:t>
            </w:r>
          </w:p>
          <w:p w:rsidR="00927630" w:rsidRDefault="00927630" w:rsidP="006B349F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</w:p>
          <w:p w:rsidR="005D68D7" w:rsidRPr="005D68D7" w:rsidRDefault="005D68D7" w:rsidP="00C86653">
            <w:pPr>
              <w:rPr>
                <w:rFonts w:ascii="Myriad Pro" w:eastAsia="Times New Roman" w:hAnsi="Myriad Pro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AD6C67" w:rsidRDefault="00AD6C67" w:rsidP="00C86653">
      <w:pPr>
        <w:spacing w:after="0" w:line="240" w:lineRule="auto"/>
        <w:rPr>
          <w:rFonts w:ascii="Myriad Pro" w:eastAsia="Times New Roman" w:hAnsi="Myriad Pro" w:cs="Calibri"/>
          <w:b/>
          <w:color w:val="000000"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245"/>
      </w:tblGrid>
      <w:tr w:rsidR="00AD6C67" w:rsidRPr="004B195B" w:rsidTr="00927630">
        <w:trPr>
          <w:trHeight w:val="4644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C67" w:rsidRPr="00927630" w:rsidRDefault="00AD6C67" w:rsidP="005D68D7">
            <w:pPr>
              <w:spacing w:after="0" w:line="240" w:lineRule="auto"/>
              <w:ind w:left="426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AD6C67" w:rsidRPr="00927630" w:rsidRDefault="00AD6C67" w:rsidP="005D68D7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  <w:t>CATS (Cognitive Ability Tests):</w:t>
            </w:r>
          </w:p>
          <w:p w:rsidR="00AD6C67" w:rsidRPr="00927630" w:rsidRDefault="00AD6C67" w:rsidP="005D68D7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 xml:space="preserve">CATS are a measure of a range of reasoning skills.  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The tests look at reasoning with three types of symbol: words, numbers, and shapes or figures.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Non Verbal Reasoning – Shapes or Figures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Verbal Reasoning – Words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Quant</w:t>
            </w:r>
            <w:r w:rsidR="00ED4D5F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it</w:t>
            </w: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ative Reasoning – Numbers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Spatial Reasoning – Spatial Ability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 xml:space="preserve">The final measure in the CAT category is the Mean which is the average of all four tests.  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  <w:t>The average Mean Score is 100.</w:t>
            </w:r>
          </w:p>
          <w:p w:rsidR="00AD6C67" w:rsidRPr="00927630" w:rsidRDefault="00AD6C67" w:rsidP="005D68D7">
            <w:pPr>
              <w:spacing w:after="0" w:line="240" w:lineRule="auto"/>
              <w:ind w:right="284"/>
              <w:rPr>
                <w:rFonts w:ascii="Myriad Pro" w:eastAsia="Times New Roman" w:hAnsi="Myriad Pro" w:cs="Times New Roman"/>
                <w:sz w:val="20"/>
                <w:szCs w:val="20"/>
                <w:lang w:eastAsia="en-GB"/>
              </w:rPr>
            </w:pPr>
          </w:p>
          <w:p w:rsidR="00AD6C67" w:rsidRPr="00927630" w:rsidRDefault="00AD6C67" w:rsidP="0092763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AD6C67" w:rsidRPr="00927630" w:rsidRDefault="00AD6C67" w:rsidP="005D68D7">
            <w:pPr>
              <w:spacing w:after="0" w:line="240" w:lineRule="auto"/>
              <w:ind w:left="426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C67" w:rsidRPr="00927630" w:rsidRDefault="00AD6C67" w:rsidP="00AD6C67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927630" w:rsidRPr="00927630" w:rsidRDefault="00251470" w:rsidP="00AD6C6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  <w:t>Year 9, 10  &amp; 11</w:t>
            </w:r>
            <w:r w:rsidR="00927630" w:rsidRPr="00927630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  <w:t xml:space="preserve"> Reports</w:t>
            </w:r>
          </w:p>
          <w:p w:rsidR="00927630" w:rsidRPr="00927630" w:rsidRDefault="00927630" w:rsidP="00AD6C6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927630" w:rsidRDefault="00ED4D5F" w:rsidP="005D792B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Current assessments will be based on the progress that students are making across each of their subject areas</w:t>
            </w:r>
            <w:r w:rsidR="00930F8B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D56DB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his will be communica</w:t>
            </w:r>
            <w:r w:rsidR="00B731AF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 xml:space="preserve">ted with you through reports as </w:t>
            </w:r>
            <w:r w:rsidR="008D56DB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“Above, Making or B</w:t>
            </w:r>
            <w:r w:rsidR="00251470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elow Expected Progress</w:t>
            </w:r>
            <w:r w:rsidR="008D56DB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”</w:t>
            </w:r>
            <w:r w:rsidR="00251470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F05BB6" w:rsidRPr="00927630" w:rsidRDefault="00F05BB6" w:rsidP="005D792B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AD6C67" w:rsidRPr="00927630" w:rsidRDefault="00AD6C67" w:rsidP="0092763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  <w:t>Progress 8</w:t>
            </w:r>
          </w:p>
          <w:p w:rsidR="00AD6C67" w:rsidRPr="00927630" w:rsidRDefault="00AD6C67" w:rsidP="00AD6C67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AD6C67" w:rsidRPr="00927630" w:rsidRDefault="00AD6C67" w:rsidP="0092763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 xml:space="preserve">Progress 8 aims to capture the progress a </w:t>
            </w:r>
            <w:r w:rsidR="00716593" w:rsidRPr="00927630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student</w:t>
            </w:r>
            <w:r w:rsidRPr="00927630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 xml:space="preserve"> makes from the end of Primary school to the end of Secondary school.</w:t>
            </w:r>
          </w:p>
          <w:p w:rsidR="00AD6C67" w:rsidRPr="00927630" w:rsidRDefault="00AD6C67" w:rsidP="0092763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</w:pPr>
          </w:p>
          <w:p w:rsidR="00AD6C67" w:rsidRPr="00927630" w:rsidRDefault="00AD6C67" w:rsidP="0092763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</w:pPr>
            <w:r w:rsidRPr="00927630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This score is a measure of progress across 8 subjects, the greater the progress score being the greater progress overall</w:t>
            </w:r>
            <w:r w:rsidR="00927630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:rsidR="006B349F" w:rsidRPr="00716593" w:rsidRDefault="00E85384" w:rsidP="00AD6C6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C845C4" wp14:editId="4F29549B">
            <wp:simplePos x="0" y="0"/>
            <wp:positionH relativeFrom="column">
              <wp:posOffset>8555990</wp:posOffset>
            </wp:positionH>
            <wp:positionV relativeFrom="paragraph">
              <wp:posOffset>262255</wp:posOffset>
            </wp:positionV>
            <wp:extent cx="3338830" cy="4171950"/>
            <wp:effectExtent l="19050" t="19050" r="1397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s Lad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41719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653">
        <w:br w:type="textWrapping" w:clear="all"/>
      </w:r>
      <w:r w:rsidR="00B731AF">
        <w:t>Note</w:t>
      </w:r>
    </w:p>
    <w:p w:rsidR="00A234BF" w:rsidRPr="00716593" w:rsidRDefault="00A234BF" w:rsidP="00A234BF">
      <w:pPr>
        <w:rPr>
          <w:rFonts w:eastAsia="Times New Roman" w:cs="Times New Roman"/>
          <w:color w:val="333333"/>
          <w:lang w:eastAsia="en-GB"/>
        </w:rPr>
      </w:pPr>
      <w:r w:rsidRPr="00716593">
        <w:rPr>
          <w:rFonts w:eastAsia="Times New Roman" w:cs="Times New Roman"/>
          <w:color w:val="333333"/>
          <w:lang w:eastAsia="en-GB"/>
        </w:rPr>
        <w:t>As you will perhaps be aware, in the last few years the education system has been subjected to many changes. In March 2014, the coalition government embarked on a radical programme to improve the assessment and examination systems across England with schools required to abandon the use of levels in Key Stages 1, 2 and 3 and GCSE grades were also to change from A* - G judgements to a new 1-9 system. Ministers say that this will bring England's exam benchmark up to the level of students in the world's leading economies such as China.</w:t>
      </w:r>
    </w:p>
    <w:p w:rsidR="006B349F" w:rsidRPr="00716593" w:rsidRDefault="00771DFE" w:rsidP="00AD6C67">
      <w:pPr>
        <w:rPr>
          <w:rFonts w:eastAsia="Times New Roman" w:cs="Times New Roman"/>
          <w:color w:val="333333"/>
          <w:lang w:eastAsia="en-GB"/>
        </w:rPr>
      </w:pPr>
      <w:r w:rsidRPr="00716593">
        <w:rPr>
          <w:rFonts w:eastAsia="Times New Roman" w:cs="Times New Roman"/>
          <w:color w:val="333333"/>
          <w:lang w:eastAsia="en-GB"/>
        </w:rPr>
        <w:t>Subjects</w:t>
      </w:r>
      <w:r w:rsidR="00A234BF" w:rsidRPr="00716593">
        <w:rPr>
          <w:rFonts w:eastAsia="Times New Roman" w:cs="Times New Roman"/>
          <w:color w:val="333333"/>
          <w:lang w:eastAsia="en-GB"/>
        </w:rPr>
        <w:t xml:space="preserve"> will be marked under the new system, with more subjects </w:t>
      </w:r>
      <w:r w:rsidR="00AD6C67" w:rsidRPr="00716593">
        <w:rPr>
          <w:rFonts w:eastAsia="Times New Roman" w:cs="Times New Roman"/>
          <w:color w:val="333333"/>
          <w:lang w:eastAsia="en-GB"/>
        </w:rPr>
        <w:t xml:space="preserve">having begun </w:t>
      </w:r>
      <w:r w:rsidR="00A234BF" w:rsidRPr="00716593">
        <w:rPr>
          <w:rFonts w:eastAsia="Times New Roman" w:cs="Times New Roman"/>
          <w:color w:val="333333"/>
          <w:lang w:eastAsia="en-GB"/>
        </w:rPr>
        <w:t xml:space="preserve">to teach newly constructed courses </w:t>
      </w:r>
      <w:r w:rsidR="00AD6C67" w:rsidRPr="00716593">
        <w:rPr>
          <w:rFonts w:eastAsia="Times New Roman" w:cs="Times New Roman"/>
          <w:color w:val="333333"/>
          <w:lang w:eastAsia="en-GB"/>
        </w:rPr>
        <w:t xml:space="preserve">from </w:t>
      </w:r>
      <w:r w:rsidR="00A234BF" w:rsidRPr="00716593">
        <w:rPr>
          <w:rFonts w:eastAsia="Times New Roman" w:cs="Times New Roman"/>
          <w:color w:val="333333"/>
          <w:lang w:eastAsia="en-GB"/>
        </w:rPr>
        <w:t xml:space="preserve">September 2016. </w:t>
      </w:r>
    </w:p>
    <w:p w:rsidR="00716593" w:rsidRPr="00716593" w:rsidRDefault="00716593" w:rsidP="00AD6C67">
      <w:pPr>
        <w:rPr>
          <w:rFonts w:eastAsia="Times New Roman" w:cs="Times New Roman"/>
          <w:color w:val="333333"/>
          <w:lang w:eastAsia="en-GB"/>
        </w:rPr>
      </w:pPr>
      <w:r w:rsidRPr="00716593">
        <w:rPr>
          <w:rFonts w:eastAsia="Times New Roman" w:cs="Times New Roman"/>
          <w:color w:val="333333"/>
          <w:lang w:eastAsia="en-GB"/>
        </w:rPr>
        <w:t>Please be aware that progress may fluctuate due to the student’s aptitude for a particular topic or skill.  There should be an upward trend in progress over the year.  If you have any concerns about progress in a specific subject, please contact the subject teacher or subject leader.</w:t>
      </w:r>
    </w:p>
    <w:p w:rsidR="006B349F" w:rsidRPr="00A234BF" w:rsidRDefault="006B349F" w:rsidP="006B349F">
      <w:pPr>
        <w:ind w:right="139"/>
        <w:rPr>
          <w:sz w:val="18"/>
          <w:szCs w:val="18"/>
        </w:rPr>
      </w:pPr>
    </w:p>
    <w:sectPr w:rsidR="006B349F" w:rsidRPr="00A234BF" w:rsidSect="006B349F">
      <w:pgSz w:w="11907" w:h="16839" w:code="9"/>
      <w:pgMar w:top="426" w:right="568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3C3"/>
    <w:multiLevelType w:val="hybridMultilevel"/>
    <w:tmpl w:val="BEF0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131"/>
    <w:multiLevelType w:val="hybridMultilevel"/>
    <w:tmpl w:val="BD22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5B"/>
    <w:rsid w:val="00120324"/>
    <w:rsid w:val="001F327D"/>
    <w:rsid w:val="00251470"/>
    <w:rsid w:val="00330B2D"/>
    <w:rsid w:val="00370B2A"/>
    <w:rsid w:val="003C75B0"/>
    <w:rsid w:val="004511D0"/>
    <w:rsid w:val="004A1C2A"/>
    <w:rsid w:val="004B195B"/>
    <w:rsid w:val="005D68D7"/>
    <w:rsid w:val="005D792B"/>
    <w:rsid w:val="00683F01"/>
    <w:rsid w:val="006B349F"/>
    <w:rsid w:val="00710993"/>
    <w:rsid w:val="00716593"/>
    <w:rsid w:val="007316C5"/>
    <w:rsid w:val="00771DFE"/>
    <w:rsid w:val="008D56DB"/>
    <w:rsid w:val="008E0676"/>
    <w:rsid w:val="009209E2"/>
    <w:rsid w:val="00927630"/>
    <w:rsid w:val="00930F8B"/>
    <w:rsid w:val="00951169"/>
    <w:rsid w:val="009C51CB"/>
    <w:rsid w:val="009D3065"/>
    <w:rsid w:val="00A234BF"/>
    <w:rsid w:val="00AD6C67"/>
    <w:rsid w:val="00B731AF"/>
    <w:rsid w:val="00C86653"/>
    <w:rsid w:val="00DB2949"/>
    <w:rsid w:val="00E85384"/>
    <w:rsid w:val="00ED4D5F"/>
    <w:rsid w:val="00F05BB6"/>
    <w:rsid w:val="00F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81A1-E8C8-49CE-B054-8945E9B3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6AFA1335</Template>
  <TotalTime>0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2017-10-19T07:46:00Z</cp:lastPrinted>
  <dcterms:created xsi:type="dcterms:W3CDTF">2017-12-05T11:21:00Z</dcterms:created>
  <dcterms:modified xsi:type="dcterms:W3CDTF">2017-12-05T11:21:00Z</dcterms:modified>
</cp:coreProperties>
</file>