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640" w:rsidRDefault="00525640" w:rsidP="00735D46">
      <w:pPr>
        <w:spacing w:after="0"/>
        <w:rPr>
          <w:sz w:val="20"/>
          <w:szCs w:val="20"/>
        </w:rPr>
      </w:pPr>
    </w:p>
    <w:p w:rsidR="00C216E9" w:rsidRPr="003825D2" w:rsidRDefault="003825D2" w:rsidP="00C216E9">
      <w:pPr>
        <w:spacing w:after="0"/>
        <w:rPr>
          <w:sz w:val="20"/>
          <w:szCs w:val="20"/>
          <w:lang w:val="en"/>
        </w:rPr>
      </w:pPr>
      <w:r w:rsidRPr="003825D2">
        <w:rPr>
          <w:sz w:val="20"/>
          <w:szCs w:val="20"/>
          <w:lang w:val="en"/>
        </w:rPr>
        <w:t>The</w:t>
      </w:r>
      <w:r w:rsidR="00C216E9" w:rsidRPr="003825D2">
        <w:rPr>
          <w:sz w:val="20"/>
          <w:szCs w:val="20"/>
          <w:lang w:val="en"/>
        </w:rPr>
        <w:t xml:space="preserve"> literacy and numeracy catch-up premium for year 7 pupils</w:t>
      </w:r>
      <w:r w:rsidR="00087E2B">
        <w:rPr>
          <w:sz w:val="20"/>
          <w:szCs w:val="20"/>
          <w:lang w:val="en"/>
        </w:rPr>
        <w:t xml:space="preserve"> is</w:t>
      </w:r>
      <w:r w:rsidR="00FA6879" w:rsidRPr="00FA6879">
        <w:rPr>
          <w:sz w:val="20"/>
          <w:szCs w:val="20"/>
          <w:lang w:val="en"/>
        </w:rPr>
        <w:t xml:space="preserve"> additional funding to support year 7 pupils who did not achieve the expected standard in reading </w:t>
      </w:r>
      <w:r w:rsidR="00087E2B">
        <w:rPr>
          <w:sz w:val="20"/>
          <w:szCs w:val="20"/>
          <w:lang w:val="en"/>
        </w:rPr>
        <w:t xml:space="preserve">and </w:t>
      </w:r>
      <w:r w:rsidR="00FA6879" w:rsidRPr="00FA6879">
        <w:rPr>
          <w:sz w:val="20"/>
          <w:szCs w:val="20"/>
          <w:lang w:val="en"/>
        </w:rPr>
        <w:t xml:space="preserve">or </w:t>
      </w:r>
      <w:proofErr w:type="spellStart"/>
      <w:r w:rsidR="00FA6879" w:rsidRPr="00FA6879">
        <w:rPr>
          <w:sz w:val="20"/>
          <w:szCs w:val="20"/>
          <w:lang w:val="en"/>
        </w:rPr>
        <w:t>maths</w:t>
      </w:r>
      <w:proofErr w:type="spellEnd"/>
      <w:r w:rsidR="00FA6879" w:rsidRPr="00FA6879">
        <w:rPr>
          <w:sz w:val="20"/>
          <w:szCs w:val="20"/>
          <w:lang w:val="en"/>
        </w:rPr>
        <w:t xml:space="preserve"> at the end of key stage 2 (KS2).</w:t>
      </w:r>
      <w:r w:rsidRPr="003825D2">
        <w:rPr>
          <w:sz w:val="20"/>
          <w:szCs w:val="20"/>
          <w:lang w:val="en"/>
        </w:rPr>
        <w:t xml:space="preserve"> It</w:t>
      </w:r>
      <w:r w:rsidR="00C216E9" w:rsidRPr="003825D2">
        <w:rPr>
          <w:sz w:val="20"/>
          <w:szCs w:val="20"/>
          <w:lang w:val="en"/>
        </w:rPr>
        <w:t xml:space="preserve"> enables schools to provide additional support to help them catch up with their classmates. </w:t>
      </w:r>
      <w:r w:rsidRPr="003825D2">
        <w:rPr>
          <w:sz w:val="20"/>
          <w:szCs w:val="20"/>
          <w:lang w:val="en"/>
        </w:rPr>
        <w:t xml:space="preserve"> </w:t>
      </w:r>
      <w:r w:rsidR="00C216E9" w:rsidRPr="003825D2">
        <w:rPr>
          <w:sz w:val="20"/>
          <w:szCs w:val="20"/>
          <w:lang w:val="en"/>
        </w:rPr>
        <w:t>Schools receive £500 per eligible pupil</w:t>
      </w:r>
      <w:r w:rsidRPr="003825D2">
        <w:rPr>
          <w:sz w:val="20"/>
          <w:szCs w:val="20"/>
          <w:lang w:val="en"/>
        </w:rPr>
        <w:t>.</w:t>
      </w:r>
    </w:p>
    <w:p w:rsidR="003825D2" w:rsidRDefault="003825D2" w:rsidP="00C216E9">
      <w:pPr>
        <w:spacing w:after="0"/>
        <w:rPr>
          <w:lang w:val="en"/>
        </w:rPr>
      </w:pPr>
    </w:p>
    <w:p w:rsidR="003825D2" w:rsidRPr="00525640" w:rsidRDefault="007378E6" w:rsidP="003825D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28133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-201</w:t>
      </w:r>
      <w:r w:rsidR="00281337">
        <w:rPr>
          <w:b/>
          <w:sz w:val="20"/>
          <w:szCs w:val="20"/>
        </w:rPr>
        <w:t>9</w:t>
      </w:r>
      <w:r w:rsidR="00087E2B">
        <w:rPr>
          <w:b/>
          <w:sz w:val="20"/>
          <w:szCs w:val="20"/>
        </w:rPr>
        <w:t xml:space="preserve"> </w:t>
      </w:r>
      <w:r w:rsidR="003825D2" w:rsidRPr="00525640">
        <w:rPr>
          <w:b/>
          <w:sz w:val="20"/>
          <w:szCs w:val="20"/>
        </w:rPr>
        <w:t>Funding to narrow the gap:</w:t>
      </w:r>
    </w:p>
    <w:p w:rsidR="003825D2" w:rsidRPr="00971D2A" w:rsidRDefault="003825D2" w:rsidP="003825D2">
      <w:pPr>
        <w:spacing w:after="0"/>
        <w:rPr>
          <w:sz w:val="20"/>
          <w:szCs w:val="20"/>
        </w:rPr>
      </w:pPr>
      <w:r w:rsidRPr="003834C6">
        <w:rPr>
          <w:sz w:val="20"/>
          <w:szCs w:val="20"/>
        </w:rPr>
        <w:t xml:space="preserve">Total Figure: </w:t>
      </w:r>
      <w:r w:rsidR="00971D2A">
        <w:rPr>
          <w:sz w:val="20"/>
          <w:szCs w:val="20"/>
        </w:rPr>
        <w:t>£</w:t>
      </w:r>
      <w:r w:rsidR="005D6AAD" w:rsidRPr="005D6AAD">
        <w:rPr>
          <w:sz w:val="20"/>
          <w:szCs w:val="20"/>
        </w:rPr>
        <w:t>36,212</w:t>
      </w:r>
    </w:p>
    <w:p w:rsidR="000006C8" w:rsidRDefault="000006C8" w:rsidP="00C216E9">
      <w:pPr>
        <w:spacing w:after="0"/>
        <w:rPr>
          <w:b/>
          <w:sz w:val="20"/>
          <w:szCs w:val="20"/>
        </w:rPr>
      </w:pPr>
    </w:p>
    <w:p w:rsidR="00761CF0" w:rsidRPr="00761CF0" w:rsidRDefault="00761CF0" w:rsidP="00761CF0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761CF0">
        <w:rPr>
          <w:b/>
          <w:sz w:val="20"/>
          <w:szCs w:val="20"/>
        </w:rPr>
        <w:t>Specialist Primary teacher provision in English incorporating additional literacy in the timetable</w:t>
      </w:r>
    </w:p>
    <w:p w:rsidR="00761CF0" w:rsidRPr="00761CF0" w:rsidRDefault="00761CF0" w:rsidP="00761CF0">
      <w:pPr>
        <w:spacing w:after="0"/>
        <w:rPr>
          <w:b/>
          <w:sz w:val="20"/>
          <w:szCs w:val="20"/>
        </w:rPr>
      </w:pPr>
      <w:r>
        <w:t>Small group literacy sessions timetabled to ensure progress and work on basic skill with a specialist primary school teacher.</w:t>
      </w:r>
    </w:p>
    <w:p w:rsidR="00761CF0" w:rsidRPr="00761CF0" w:rsidRDefault="00761CF0" w:rsidP="00761CF0">
      <w:pPr>
        <w:spacing w:after="0"/>
        <w:rPr>
          <w:b/>
          <w:sz w:val="20"/>
          <w:szCs w:val="20"/>
        </w:rPr>
      </w:pPr>
    </w:p>
    <w:p w:rsidR="00761CF0" w:rsidRDefault="00761CF0" w:rsidP="000006C8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761CF0">
        <w:rPr>
          <w:b/>
          <w:sz w:val="20"/>
          <w:szCs w:val="20"/>
        </w:rPr>
        <w:t>Co-ordinated specific individual intervention</w:t>
      </w:r>
      <w:r>
        <w:rPr>
          <w:b/>
          <w:sz w:val="20"/>
          <w:szCs w:val="20"/>
        </w:rPr>
        <w:t xml:space="preserve"> for literacy</w:t>
      </w:r>
    </w:p>
    <w:p w:rsidR="00386F23" w:rsidRPr="00761CF0" w:rsidRDefault="00761CF0" w:rsidP="00C216E9">
      <w:pPr>
        <w:spacing w:after="0"/>
      </w:pPr>
      <w:r>
        <w:t>Pupils targeted with specific packages to boost their reading skills</w:t>
      </w:r>
      <w:r w:rsidR="00234292">
        <w:t xml:space="preserve"> AR and RP</w:t>
      </w:r>
      <w:r w:rsidR="00F935C2">
        <w:t>.</w:t>
      </w:r>
    </w:p>
    <w:p w:rsidR="000006C8" w:rsidRPr="00761CF0" w:rsidRDefault="000006C8" w:rsidP="00C216E9">
      <w:pPr>
        <w:spacing w:after="0"/>
        <w:rPr>
          <w:b/>
          <w:sz w:val="20"/>
          <w:szCs w:val="20"/>
        </w:rPr>
      </w:pPr>
    </w:p>
    <w:p w:rsidR="00D875A9" w:rsidRPr="00761CF0" w:rsidRDefault="00C216E9" w:rsidP="00761CF0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761CF0">
        <w:rPr>
          <w:b/>
          <w:sz w:val="20"/>
          <w:szCs w:val="20"/>
        </w:rPr>
        <w:t>Maths</w:t>
      </w:r>
    </w:p>
    <w:p w:rsidR="00234292" w:rsidRDefault="00386F23" w:rsidP="000006C8">
      <w:r>
        <w:t xml:space="preserve">Pupils taught </w:t>
      </w:r>
      <w:r w:rsidR="00971D2A">
        <w:t xml:space="preserve">in reduced sized classes </w:t>
      </w:r>
    </w:p>
    <w:p w:rsidR="00234292" w:rsidRDefault="00971D2A" w:rsidP="000006C8">
      <w:r>
        <w:t>IA intervention in class</w:t>
      </w:r>
    </w:p>
    <w:p w:rsidR="00CB789E" w:rsidRDefault="00971D2A" w:rsidP="000006C8">
      <w:r>
        <w:t>pupils highlighted at departmental meetings and achievement panel to focus on accelerated progress.</w:t>
      </w:r>
    </w:p>
    <w:p w:rsidR="00234292" w:rsidRDefault="00234292" w:rsidP="00234292">
      <w:r>
        <w:t>Adapted scheme of work to target gaps</w:t>
      </w:r>
    </w:p>
    <w:p w:rsidR="003834C6" w:rsidRPr="003834C6" w:rsidRDefault="00140F49" w:rsidP="003834C6">
      <w:pPr>
        <w:rPr>
          <w:sz w:val="20"/>
          <w:szCs w:val="20"/>
        </w:rPr>
      </w:pPr>
      <w:r w:rsidRPr="00140F4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7B8361B" wp14:editId="71009D45">
                <wp:simplePos x="0" y="0"/>
                <wp:positionH relativeFrom="column">
                  <wp:posOffset>15902</wp:posOffset>
                </wp:positionH>
                <wp:positionV relativeFrom="paragraph">
                  <wp:posOffset>213802</wp:posOffset>
                </wp:positionV>
                <wp:extent cx="6225871" cy="3632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871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0F49" w:rsidRDefault="00140F49" w:rsidP="00140F4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  <w:r w:rsidRPr="00140F49">
                              <w:rPr>
                                <w:rFonts w:ascii="Myriad Pro Cond" w:hAnsi="Myriad Pro Cond"/>
                                <w:b/>
                                <w:bCs/>
                                <w:kern w:val="24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kern w:val="24"/>
                                <w:szCs w:val="32"/>
                              </w:rPr>
                              <w:t xml:space="preserve">Impact: </w:t>
                            </w:r>
                            <w:r w:rsidRPr="00140F49">
                              <w:rPr>
                                <w:rFonts w:ascii="Myriad Pro Cond" w:hAnsi="Myriad Pro Cond"/>
                                <w:b/>
                                <w:bCs/>
                                <w:kern w:val="24"/>
                                <w:sz w:val="24"/>
                                <w:szCs w:val="36"/>
                              </w:rPr>
                              <w:t>Year 7 201</w:t>
                            </w:r>
                            <w:r w:rsidR="00F86B58">
                              <w:rPr>
                                <w:rFonts w:ascii="Myriad Pro Cond" w:hAnsi="Myriad Pro Cond"/>
                                <w:b/>
                                <w:bCs/>
                                <w:kern w:val="24"/>
                                <w:sz w:val="24"/>
                                <w:szCs w:val="36"/>
                              </w:rPr>
                              <w:t>8</w:t>
                            </w:r>
                            <w:r w:rsidRPr="00140F49">
                              <w:rPr>
                                <w:rFonts w:ascii="Myriad Pro Cond" w:hAnsi="Myriad Pro Cond"/>
                                <w:b/>
                                <w:bCs/>
                                <w:kern w:val="24"/>
                                <w:sz w:val="24"/>
                                <w:szCs w:val="36"/>
                              </w:rPr>
                              <w:t>-201</w:t>
                            </w:r>
                            <w:r w:rsidR="00F86B58">
                              <w:rPr>
                                <w:rFonts w:ascii="Myriad Pro Cond" w:hAnsi="Myriad Pro Cond"/>
                                <w:b/>
                                <w:bCs/>
                                <w:kern w:val="24"/>
                                <w:sz w:val="24"/>
                                <w:szCs w:val="36"/>
                              </w:rPr>
                              <w:t>9</w:t>
                            </w:r>
                            <w:r w:rsidR="000006C8">
                              <w:rPr>
                                <w:rFonts w:ascii="Myriad Pro Cond" w:hAnsi="Myriad Pro Cond"/>
                                <w:b/>
                                <w:bCs/>
                                <w:kern w:val="24"/>
                                <w:sz w:val="24"/>
                                <w:szCs w:val="36"/>
                              </w:rPr>
                              <w:t xml:space="preserve">: </w:t>
                            </w:r>
                            <w:r w:rsidR="00674440">
                              <w:rPr>
                                <w:b/>
                                <w:bCs/>
                                <w:kern w:val="24"/>
                                <w:sz w:val="24"/>
                                <w:szCs w:val="36"/>
                              </w:rPr>
                              <w:t>Achieving expected progress</w:t>
                            </w:r>
                          </w:p>
                          <w:p w:rsidR="00140F49" w:rsidRDefault="00140F49" w:rsidP="00140F4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</w:p>
                          <w:p w:rsidR="00140F49" w:rsidRDefault="00140F49" w:rsidP="00140F4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</w:p>
                          <w:p w:rsidR="00140F49" w:rsidRPr="00140F49" w:rsidRDefault="00140F49" w:rsidP="00140F4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836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16.85pt;width:490.25pt;height:28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" filled="f" stroked="f" strokecolor="black [0]" insetpen="t">
                <v:textbox inset="2.88pt,2.88pt,2.88pt,2.88pt">
                  <w:txbxContent>
                    <w:p w:rsidR="00140F49" w:rsidRDefault="00140F49" w:rsidP="00140F49">
                      <w:pPr>
                        <w:widowControl w:val="0"/>
                        <w:rPr>
                          <w:b/>
                          <w:bCs/>
                          <w:sz w:val="24"/>
                          <w:szCs w:val="36"/>
                        </w:rPr>
                      </w:pPr>
                      <w:r w:rsidRPr="00140F49">
                        <w:rPr>
                          <w:rFonts w:ascii="Myriad Pro Cond" w:hAnsi="Myriad Pro Cond"/>
                          <w:b/>
                          <w:bCs/>
                          <w:kern w:val="24"/>
                          <w:szCs w:val="32"/>
                        </w:rPr>
                        <w:t xml:space="preserve">   </w:t>
                      </w:r>
                      <w:r>
                        <w:rPr>
                          <w:rFonts w:ascii="Myriad Pro Cond" w:hAnsi="Myriad Pro Cond"/>
                          <w:b/>
                          <w:bCs/>
                          <w:kern w:val="24"/>
                          <w:szCs w:val="32"/>
                        </w:rPr>
                        <w:t xml:space="preserve">Impact: </w:t>
                      </w:r>
                      <w:r w:rsidRPr="00140F49">
                        <w:rPr>
                          <w:rFonts w:ascii="Myriad Pro Cond" w:hAnsi="Myriad Pro Cond"/>
                          <w:b/>
                          <w:bCs/>
                          <w:kern w:val="24"/>
                          <w:sz w:val="24"/>
                          <w:szCs w:val="36"/>
                        </w:rPr>
                        <w:t>Year 7 201</w:t>
                      </w:r>
                      <w:r w:rsidR="00F86B58">
                        <w:rPr>
                          <w:rFonts w:ascii="Myriad Pro Cond" w:hAnsi="Myriad Pro Cond"/>
                          <w:b/>
                          <w:bCs/>
                          <w:kern w:val="24"/>
                          <w:sz w:val="24"/>
                          <w:szCs w:val="36"/>
                        </w:rPr>
                        <w:t>8</w:t>
                      </w:r>
                      <w:r w:rsidRPr="00140F49">
                        <w:rPr>
                          <w:rFonts w:ascii="Myriad Pro Cond" w:hAnsi="Myriad Pro Cond"/>
                          <w:b/>
                          <w:bCs/>
                          <w:kern w:val="24"/>
                          <w:sz w:val="24"/>
                          <w:szCs w:val="36"/>
                        </w:rPr>
                        <w:t>-201</w:t>
                      </w:r>
                      <w:r w:rsidR="00F86B58">
                        <w:rPr>
                          <w:rFonts w:ascii="Myriad Pro Cond" w:hAnsi="Myriad Pro Cond"/>
                          <w:b/>
                          <w:bCs/>
                          <w:kern w:val="24"/>
                          <w:sz w:val="24"/>
                          <w:szCs w:val="36"/>
                        </w:rPr>
                        <w:t>9</w:t>
                      </w:r>
                      <w:r w:rsidR="000006C8">
                        <w:rPr>
                          <w:rFonts w:ascii="Myriad Pro Cond" w:hAnsi="Myriad Pro Cond"/>
                          <w:b/>
                          <w:bCs/>
                          <w:kern w:val="24"/>
                          <w:sz w:val="24"/>
                          <w:szCs w:val="36"/>
                        </w:rPr>
                        <w:t xml:space="preserve">: </w:t>
                      </w:r>
                      <w:r w:rsidR="00674440">
                        <w:rPr>
                          <w:b/>
                          <w:bCs/>
                          <w:kern w:val="24"/>
                          <w:sz w:val="24"/>
                          <w:szCs w:val="36"/>
                        </w:rPr>
                        <w:t>Achieving expected progress</w:t>
                      </w:r>
                    </w:p>
                    <w:p w:rsidR="00140F49" w:rsidRDefault="00140F49" w:rsidP="00140F49">
                      <w:pPr>
                        <w:widowControl w:val="0"/>
                        <w:rPr>
                          <w:b/>
                          <w:bCs/>
                          <w:sz w:val="24"/>
                          <w:szCs w:val="36"/>
                        </w:rPr>
                      </w:pPr>
                    </w:p>
                    <w:p w:rsidR="00140F49" w:rsidRDefault="00140F49" w:rsidP="00140F49">
                      <w:pPr>
                        <w:widowControl w:val="0"/>
                        <w:rPr>
                          <w:b/>
                          <w:bCs/>
                          <w:sz w:val="24"/>
                          <w:szCs w:val="36"/>
                        </w:rPr>
                      </w:pPr>
                    </w:p>
                    <w:p w:rsidR="00140F49" w:rsidRPr="00140F49" w:rsidRDefault="00140F49" w:rsidP="00140F49">
                      <w:pPr>
                        <w:widowControl w:val="0"/>
                        <w:rPr>
                          <w:b/>
                          <w:bCs/>
                          <w:sz w:val="2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4C6" w:rsidRPr="003834C6">
        <w:rPr>
          <w:sz w:val="20"/>
          <w:szCs w:val="20"/>
        </w:rPr>
        <w:t xml:space="preserve">                                                                                   </w:t>
      </w:r>
    </w:p>
    <w:p w:rsidR="00140F49" w:rsidRPr="00140F49" w:rsidRDefault="00140F49" w:rsidP="0014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F4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680E276" wp14:editId="397C887B">
                <wp:simplePos x="0" y="0"/>
                <wp:positionH relativeFrom="column">
                  <wp:posOffset>1452880</wp:posOffset>
                </wp:positionH>
                <wp:positionV relativeFrom="paragraph">
                  <wp:posOffset>8613140</wp:posOffset>
                </wp:positionV>
                <wp:extent cx="4578985" cy="1572895"/>
                <wp:effectExtent l="0" t="2540" r="0" b="0"/>
                <wp:wrapNone/>
                <wp:docPr id="3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78985" cy="157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FDC45" id="Control 3" o:spid="_x0000_s1026" style="position:absolute;margin-left:114.4pt;margin-top:678.2pt;width:360.55pt;height:123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9060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6571"/>
      </w:tblGrid>
      <w:tr w:rsidR="00140F49" w:rsidRPr="00140F49" w:rsidTr="00E17D33">
        <w:trPr>
          <w:trHeight w:val="760"/>
        </w:trPr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F49" w:rsidRPr="00140F49" w:rsidRDefault="00140F49" w:rsidP="00140F49">
            <w:pPr>
              <w:widowControl w:val="0"/>
              <w:spacing w:after="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Cs w:val="24"/>
                <w14:cntxtAlts/>
              </w:rPr>
            </w:pPr>
            <w:r w:rsidRPr="00140F49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Cs w:val="24"/>
                <w14:cntxtAlts/>
              </w:rPr>
              <w:t>Subject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F49" w:rsidRPr="00140F49" w:rsidRDefault="00140F49" w:rsidP="00674440">
            <w:pPr>
              <w:widowControl w:val="0"/>
              <w:spacing w:after="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Cs w:val="24"/>
                <w14:cntxtAlts/>
              </w:rPr>
            </w:pPr>
            <w:r w:rsidRPr="00140F49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Cs w:val="24"/>
                <w14:cntxtAlts/>
              </w:rPr>
              <w:t xml:space="preserve">% of students </w:t>
            </w:r>
            <w:r w:rsidR="0084604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Cs w:val="24"/>
                <w14:cntxtAlts/>
              </w:rPr>
              <w:t xml:space="preserve">achieving </w:t>
            </w:r>
            <w:r w:rsidR="00674440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Cs w:val="24"/>
                <w14:cntxtAlts/>
              </w:rPr>
              <w:t>expected progress</w:t>
            </w:r>
            <w:r w:rsidR="0084604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Cs w:val="24"/>
                <w14:cntxtAlts/>
              </w:rPr>
              <w:t xml:space="preserve"> </w:t>
            </w:r>
            <w:r w:rsidR="000006C8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Cs w:val="24"/>
                <w14:cntxtAlts/>
              </w:rPr>
              <w:t>(4LP)</w:t>
            </w:r>
          </w:p>
        </w:tc>
      </w:tr>
      <w:tr w:rsidR="00140F49" w:rsidRPr="00140F49" w:rsidTr="00E17D33">
        <w:trPr>
          <w:trHeight w:val="60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F49" w:rsidRPr="00140F49" w:rsidRDefault="00140F49" w:rsidP="00140F49">
            <w:pPr>
              <w:widowControl w:val="0"/>
              <w:spacing w:after="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Cs w:val="24"/>
                <w14:cntxtAlts/>
              </w:rPr>
            </w:pPr>
            <w:r w:rsidRPr="00140F49">
              <w:rPr>
                <w:rFonts w:ascii="Calibri" w:eastAsia="Times New Roman" w:hAnsi="Calibri" w:cs="Times New Roman"/>
                <w:color w:val="000000"/>
                <w:kern w:val="24"/>
                <w:szCs w:val="24"/>
                <w14:cntxtAlts/>
              </w:rPr>
              <w:t>English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F49" w:rsidRPr="00140F49" w:rsidRDefault="00281337" w:rsidP="00E74AA2">
            <w:pPr>
              <w:widowControl w:val="0"/>
              <w:spacing w:after="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Cs w:val="24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Cs w:val="24"/>
                <w14:cntxtAlts/>
              </w:rPr>
              <w:t>76</w:t>
            </w:r>
            <w:r w:rsidR="00140F49" w:rsidRPr="00140F49">
              <w:rPr>
                <w:rFonts w:ascii="Calibri" w:eastAsia="Times New Roman" w:hAnsi="Calibri" w:cs="Times New Roman"/>
                <w:color w:val="000000"/>
                <w:kern w:val="24"/>
                <w:szCs w:val="24"/>
                <w14:cntxtAlts/>
              </w:rPr>
              <w:t>%</w:t>
            </w:r>
          </w:p>
        </w:tc>
      </w:tr>
      <w:tr w:rsidR="00140F49" w:rsidRPr="00140F49" w:rsidTr="00E17D33">
        <w:trPr>
          <w:trHeight w:val="58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F49" w:rsidRPr="00140F49" w:rsidRDefault="00140F49" w:rsidP="00140F49">
            <w:pPr>
              <w:widowControl w:val="0"/>
              <w:spacing w:after="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Cs w:val="24"/>
                <w14:cntxtAlts/>
              </w:rPr>
            </w:pPr>
            <w:r w:rsidRPr="00140F49">
              <w:rPr>
                <w:rFonts w:ascii="Calibri" w:eastAsia="Times New Roman" w:hAnsi="Calibri" w:cs="Times New Roman"/>
                <w:color w:val="000000"/>
                <w:kern w:val="24"/>
                <w:szCs w:val="24"/>
                <w14:cntxtAlts/>
              </w:rPr>
              <w:t>Maths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F49" w:rsidRPr="00140F49" w:rsidRDefault="00281337" w:rsidP="00140F49">
            <w:pPr>
              <w:widowControl w:val="0"/>
              <w:spacing w:after="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Cs w:val="24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Cs w:val="24"/>
                <w14:cntxtAlts/>
              </w:rPr>
              <w:t xml:space="preserve">13% </w:t>
            </w:r>
            <w:r w:rsidR="000275B2">
              <w:rPr>
                <w:rFonts w:ascii="Calibri" w:eastAsia="Times New Roman" w:hAnsi="Calibri" w:cs="Times New Roman"/>
                <w:color w:val="000000"/>
                <w:kern w:val="24"/>
                <w:szCs w:val="24"/>
                <w14:cntxtAlts/>
              </w:rPr>
              <w:t xml:space="preserve">Students studied topic areas of maths in multiplication, division, addition, subtraction, area, 2D Geometry, Fraction and ratio, </w:t>
            </w:r>
            <w:r w:rsidR="00E17D33">
              <w:rPr>
                <w:rFonts w:ascii="Calibri" w:eastAsia="Times New Roman" w:hAnsi="Calibri" w:cs="Times New Roman"/>
                <w:color w:val="000000"/>
                <w:kern w:val="24"/>
                <w:szCs w:val="24"/>
                <w14:cntxtAlts/>
              </w:rPr>
              <w:t>algebra, sequences and graphs statistics and 3D geometry. All pupils closed significant gaps in learning and gained new content knowledge in different subject foci.</w:t>
            </w:r>
          </w:p>
        </w:tc>
      </w:tr>
      <w:tr w:rsidR="003B23AC" w:rsidRPr="00140F49" w:rsidTr="00E17D33">
        <w:trPr>
          <w:trHeight w:val="58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3AC" w:rsidRPr="00140F49" w:rsidRDefault="003B23AC" w:rsidP="003B23AC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4"/>
                <w:szCs w:val="24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Cs w:val="24"/>
                <w14:cntxtAlts/>
              </w:rPr>
              <w:t>Maths actions taken at T5 18-19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3AC" w:rsidRDefault="003B23AC" w:rsidP="003B23AC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4"/>
                <w:szCs w:val="24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Cs w:val="24"/>
                <w14:cntxtAlts/>
              </w:rPr>
              <w:t>New scheme of work written which addresses the topics which are fundamental and front loads the years with these.</w:t>
            </w:r>
          </w:p>
          <w:p w:rsidR="003B23AC" w:rsidRDefault="003B23AC" w:rsidP="003B23AC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4"/>
                <w:szCs w:val="24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Cs w:val="24"/>
                <w14:cntxtAlts/>
              </w:rPr>
              <w:t>Review and overhaul of the assessment structure and content throughout KS3</w:t>
            </w:r>
          </w:p>
          <w:p w:rsidR="003B23AC" w:rsidRPr="003B23AC" w:rsidRDefault="003B23AC" w:rsidP="003B23AC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4"/>
                <w:szCs w:val="24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Cs w:val="24"/>
                <w14:cntxtAlts/>
              </w:rPr>
              <w:t>Pupil grouping across KS3 reviewed and two sides of the year group were created for year 8.</w:t>
            </w:r>
            <w:bookmarkStart w:id="0" w:name="_GoBack"/>
            <w:bookmarkEnd w:id="0"/>
          </w:p>
        </w:tc>
      </w:tr>
    </w:tbl>
    <w:p w:rsidR="001F57CC" w:rsidRPr="00846045" w:rsidRDefault="001F57CC" w:rsidP="00846045">
      <w:pPr>
        <w:pStyle w:val="ListParagraph"/>
        <w:ind w:left="765"/>
        <w:rPr>
          <w:sz w:val="20"/>
          <w:szCs w:val="20"/>
        </w:rPr>
      </w:pPr>
    </w:p>
    <w:sectPr w:rsidR="001F57CC" w:rsidRPr="0084604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65B" w:rsidRDefault="009B265B" w:rsidP="003834C6">
      <w:pPr>
        <w:spacing w:after="0" w:line="240" w:lineRule="auto"/>
      </w:pPr>
      <w:r>
        <w:separator/>
      </w:r>
    </w:p>
  </w:endnote>
  <w:endnote w:type="continuationSeparator" w:id="0">
    <w:p w:rsidR="009B265B" w:rsidRDefault="009B265B" w:rsidP="0038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65B" w:rsidRDefault="009B265B" w:rsidP="003834C6">
      <w:pPr>
        <w:spacing w:after="0" w:line="240" w:lineRule="auto"/>
      </w:pPr>
      <w:r>
        <w:separator/>
      </w:r>
    </w:p>
  </w:footnote>
  <w:footnote w:type="continuationSeparator" w:id="0">
    <w:p w:rsidR="009B265B" w:rsidRDefault="009B265B" w:rsidP="0038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B55" w:rsidRPr="00355413" w:rsidRDefault="008A6B55">
    <w:pPr>
      <w:pStyle w:val="Header"/>
      <w:rPr>
        <w:sz w:val="32"/>
      </w:rPr>
    </w:pPr>
    <w:r w:rsidRPr="00355413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02F311B1" wp14:editId="41FA68F3">
          <wp:simplePos x="0" y="0"/>
          <wp:positionH relativeFrom="column">
            <wp:posOffset>4276725</wp:posOffset>
          </wp:positionH>
          <wp:positionV relativeFrom="paragraph">
            <wp:posOffset>-259080</wp:posOffset>
          </wp:positionV>
          <wp:extent cx="2124075" cy="69151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A Full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512">
      <w:rPr>
        <w:sz w:val="32"/>
      </w:rPr>
      <w:t>Catch Up</w:t>
    </w:r>
    <w:r w:rsidRPr="00355413">
      <w:rPr>
        <w:sz w:val="32"/>
      </w:rPr>
      <w:t xml:space="preserve"> Premium Impact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060"/>
    <w:multiLevelType w:val="hybridMultilevel"/>
    <w:tmpl w:val="6A7A5EB6"/>
    <w:lvl w:ilvl="0" w:tplc="E7D0C59C">
      <w:start w:val="7"/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30260F5"/>
    <w:multiLevelType w:val="hybridMultilevel"/>
    <w:tmpl w:val="1332D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2523"/>
    <w:multiLevelType w:val="hybridMultilevel"/>
    <w:tmpl w:val="A31E29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2B84"/>
    <w:multiLevelType w:val="hybridMultilevel"/>
    <w:tmpl w:val="360252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C8F"/>
    <w:multiLevelType w:val="hybridMultilevel"/>
    <w:tmpl w:val="F85ED0B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B0B07"/>
    <w:multiLevelType w:val="hybridMultilevel"/>
    <w:tmpl w:val="1EFAA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63A71"/>
    <w:multiLevelType w:val="hybridMultilevel"/>
    <w:tmpl w:val="8F1ED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10557"/>
    <w:multiLevelType w:val="hybridMultilevel"/>
    <w:tmpl w:val="E4F423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06961"/>
    <w:multiLevelType w:val="hybridMultilevel"/>
    <w:tmpl w:val="0F5ED5CC"/>
    <w:lvl w:ilvl="0" w:tplc="2B942022">
      <w:start w:val="7"/>
      <w:numFmt w:val="bullet"/>
      <w:lvlText w:val=""/>
      <w:lvlJc w:val="left"/>
      <w:pPr>
        <w:ind w:left="765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1936A0"/>
    <w:multiLevelType w:val="hybridMultilevel"/>
    <w:tmpl w:val="8CE0DFA8"/>
    <w:lvl w:ilvl="0" w:tplc="E2E04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EBF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2A5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E5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8BC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622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26E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8B2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C61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B1A2B"/>
    <w:multiLevelType w:val="hybridMultilevel"/>
    <w:tmpl w:val="5FFCA2EE"/>
    <w:lvl w:ilvl="0" w:tplc="C4ACA4B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2E"/>
    <w:rsid w:val="000006C8"/>
    <w:rsid w:val="000275B2"/>
    <w:rsid w:val="00087E2B"/>
    <w:rsid w:val="00140F49"/>
    <w:rsid w:val="001F57CC"/>
    <w:rsid w:val="002254B1"/>
    <w:rsid w:val="00234292"/>
    <w:rsid w:val="00281337"/>
    <w:rsid w:val="002B28A4"/>
    <w:rsid w:val="002D0591"/>
    <w:rsid w:val="00355413"/>
    <w:rsid w:val="003825D2"/>
    <w:rsid w:val="003834C6"/>
    <w:rsid w:val="00386F23"/>
    <w:rsid w:val="003B23AC"/>
    <w:rsid w:val="003C75B0"/>
    <w:rsid w:val="00525640"/>
    <w:rsid w:val="005D6AAD"/>
    <w:rsid w:val="00640B68"/>
    <w:rsid w:val="00661FA9"/>
    <w:rsid w:val="00664F3A"/>
    <w:rsid w:val="00674440"/>
    <w:rsid w:val="00681512"/>
    <w:rsid w:val="0069005D"/>
    <w:rsid w:val="006A78AB"/>
    <w:rsid w:val="00735D46"/>
    <w:rsid w:val="007378E6"/>
    <w:rsid w:val="00761CF0"/>
    <w:rsid w:val="00846045"/>
    <w:rsid w:val="008A6B55"/>
    <w:rsid w:val="00971D2A"/>
    <w:rsid w:val="0098197D"/>
    <w:rsid w:val="009B265B"/>
    <w:rsid w:val="009C29E1"/>
    <w:rsid w:val="00C11688"/>
    <w:rsid w:val="00C216E9"/>
    <w:rsid w:val="00C52A1E"/>
    <w:rsid w:val="00C5572E"/>
    <w:rsid w:val="00C61082"/>
    <w:rsid w:val="00CB789E"/>
    <w:rsid w:val="00D374E7"/>
    <w:rsid w:val="00D846A4"/>
    <w:rsid w:val="00D875A9"/>
    <w:rsid w:val="00DB2949"/>
    <w:rsid w:val="00E17D33"/>
    <w:rsid w:val="00E74AA2"/>
    <w:rsid w:val="00F06DBA"/>
    <w:rsid w:val="00F86B58"/>
    <w:rsid w:val="00F935C2"/>
    <w:rsid w:val="00F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694199B"/>
  <w15:docId w15:val="{7F7C15FC-08B2-4E11-B62A-8ABD52D9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6C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7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4C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4C6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3834C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E6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Aldhelm's Academy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Timothy Joyner</cp:lastModifiedBy>
  <cp:revision>5</cp:revision>
  <cp:lastPrinted>2018-09-28T10:21:00Z</cp:lastPrinted>
  <dcterms:created xsi:type="dcterms:W3CDTF">2019-10-15T17:12:00Z</dcterms:created>
  <dcterms:modified xsi:type="dcterms:W3CDTF">2019-10-31T11:20:00Z</dcterms:modified>
</cp:coreProperties>
</file>